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>
      <w:r>
        <w:t xml:space="preserve"> </w:t>
      </w:r>
    </w:p>
    <w:tbl>
      <w:tblPr>
        <w:tblStyle w:val="a6"/>
        <w:tblpPr w:leftFromText="180" w:rightFromText="180" w:horzAnchor="page" w:tblpX="6075" w:tblpY="-29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58"/>
      </w:tblGrid>
      <w:tr w:rsidR="00AF6550" w:rsidTr="00062F58">
        <w:trPr>
          <w:trHeight w:val="3260"/>
        </w:trPr>
        <w:tc>
          <w:tcPr>
            <w:tcW w:w="5458" w:type="dxa"/>
          </w:tcPr>
          <w:p w:rsidR="00AF6550" w:rsidRPr="00FD1033" w:rsidRDefault="00AF6550" w:rsidP="00062F58">
            <w:pPr>
              <w:ind w:left="11057" w:hanging="110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1</w:t>
            </w:r>
          </w:p>
          <w:p w:rsidR="00AF6550" w:rsidRDefault="00AF6550" w:rsidP="00062F58">
            <w:pPr>
              <w:rPr>
                <w:sz w:val="26"/>
                <w:szCs w:val="26"/>
              </w:rPr>
            </w:pPr>
            <w:r w:rsidRPr="00FD1033">
              <w:rPr>
                <w:sz w:val="26"/>
                <w:szCs w:val="26"/>
              </w:rPr>
              <w:t xml:space="preserve">к </w:t>
            </w:r>
            <w:r w:rsidR="00EB5EF1">
              <w:rPr>
                <w:sz w:val="26"/>
                <w:szCs w:val="26"/>
              </w:rPr>
              <w:t>Решению</w:t>
            </w:r>
            <w:r w:rsidRPr="00FD1033">
              <w:rPr>
                <w:sz w:val="26"/>
                <w:szCs w:val="26"/>
              </w:rPr>
              <w:t xml:space="preserve"> Совета депутатов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FD1033">
              <w:rPr>
                <w:sz w:val="26"/>
                <w:szCs w:val="26"/>
              </w:rPr>
              <w:t>Усть-Абаканского</w:t>
            </w:r>
            <w:proofErr w:type="spellEnd"/>
            <w:r w:rsidRPr="00FD103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муниципального </w:t>
            </w:r>
            <w:r w:rsidRPr="00FD1033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 </w:t>
            </w:r>
            <w:r w:rsidRPr="00FD1033">
              <w:rPr>
                <w:sz w:val="26"/>
                <w:szCs w:val="26"/>
              </w:rPr>
              <w:t>Республики Хакасия</w:t>
            </w:r>
          </w:p>
          <w:p w:rsidR="00AF6550" w:rsidRPr="00CF3B3E" w:rsidRDefault="00AF6550" w:rsidP="00062F58">
            <w:pPr>
              <w:jc w:val="both"/>
              <w:rPr>
                <w:sz w:val="26"/>
                <w:szCs w:val="26"/>
              </w:rPr>
            </w:pPr>
            <w:r w:rsidRPr="00CF3B3E">
              <w:rPr>
                <w:sz w:val="26"/>
                <w:szCs w:val="26"/>
              </w:rPr>
              <w:t>«</w:t>
            </w:r>
            <w:r w:rsidRPr="00CF3B3E">
              <w:rPr>
                <w:bCs/>
                <w:sz w:val="26"/>
                <w:szCs w:val="26"/>
              </w:rPr>
              <w:t xml:space="preserve">О внесении изменений в Решение Совета депутатов </w:t>
            </w:r>
            <w:proofErr w:type="spellStart"/>
            <w:r w:rsidRPr="00CF3B3E">
              <w:rPr>
                <w:bCs/>
                <w:sz w:val="26"/>
                <w:szCs w:val="26"/>
              </w:rPr>
              <w:t>Усть-Абаканского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r w:rsidRPr="00CF3B3E">
              <w:rPr>
                <w:bCs/>
                <w:sz w:val="26"/>
                <w:szCs w:val="26"/>
              </w:rPr>
              <w:t xml:space="preserve">района Республики Хакасия от 25.12.2018 № 68 «Об утверждении Стратегии социально-экономического развития </w:t>
            </w:r>
            <w:proofErr w:type="spellStart"/>
            <w:r w:rsidRPr="00CF3B3E">
              <w:rPr>
                <w:bCs/>
                <w:sz w:val="26"/>
                <w:szCs w:val="26"/>
              </w:rPr>
              <w:t>Усть-Абаканского</w:t>
            </w:r>
            <w:proofErr w:type="spellEnd"/>
            <w:r w:rsidRPr="00CF3B3E">
              <w:rPr>
                <w:bCs/>
                <w:sz w:val="26"/>
                <w:szCs w:val="26"/>
              </w:rPr>
              <w:t xml:space="preserve"> района до 2030 года»</w:t>
            </w:r>
          </w:p>
          <w:p w:rsidR="00AF6550" w:rsidRDefault="00EB5EF1" w:rsidP="00062F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« 20» ноября </w:t>
            </w:r>
            <w:r w:rsidR="00AF6550">
              <w:rPr>
                <w:sz w:val="26"/>
                <w:szCs w:val="26"/>
              </w:rPr>
              <w:t>2025</w:t>
            </w:r>
            <w:r w:rsidR="00AF6550" w:rsidRPr="0085046B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65</w:t>
            </w:r>
          </w:p>
        </w:tc>
      </w:tr>
    </w:tbl>
    <w:p w:rsidR="00F45E9F" w:rsidRPr="00592B49" w:rsidRDefault="00AF6550" w:rsidP="001E0C15">
      <w:pPr>
        <w:rPr>
          <w:sz w:val="26"/>
          <w:szCs w:val="26"/>
        </w:rPr>
      </w:pPr>
      <w:r w:rsidRPr="00592B49">
        <w:rPr>
          <w:sz w:val="26"/>
          <w:szCs w:val="26"/>
        </w:rPr>
        <w:t xml:space="preserve">  </w:t>
      </w:r>
      <w:r w:rsidR="00204CF5" w:rsidRPr="00592B49">
        <w:rPr>
          <w:sz w:val="26"/>
          <w:szCs w:val="26"/>
        </w:rPr>
        <w:t xml:space="preserve">Дерево целей социально-экономического развития </w:t>
      </w:r>
      <w:proofErr w:type="spellStart"/>
      <w:r w:rsidR="00204CF5" w:rsidRPr="00592B49">
        <w:rPr>
          <w:sz w:val="26"/>
          <w:szCs w:val="26"/>
        </w:rPr>
        <w:t>Усть-Абаканского</w:t>
      </w:r>
      <w:proofErr w:type="spellEnd"/>
      <w:r w:rsidR="00204CF5" w:rsidRPr="00592B49">
        <w:rPr>
          <w:sz w:val="26"/>
          <w:szCs w:val="26"/>
        </w:rPr>
        <w:t xml:space="preserve"> района</w:t>
      </w:r>
    </w:p>
    <w:p w:rsidR="00F45E9F" w:rsidRDefault="009736A3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-28.4pt;margin-top:10.2pt;width:499.7pt;height:43.5pt;z-index:251660288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6">
              <w:txbxContent>
                <w:p w:rsidR="00F45E9F" w:rsidRPr="00F45E9F" w:rsidRDefault="00F45E9F" w:rsidP="00F45E9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F45E9F">
                    <w:rPr>
                      <w:b/>
                      <w:sz w:val="20"/>
                      <w:szCs w:val="20"/>
                    </w:rPr>
                    <w:t xml:space="preserve">Миссия: </w:t>
                  </w:r>
                  <w:proofErr w:type="spellStart"/>
                  <w:r w:rsidRPr="00F45E9F">
                    <w:rPr>
                      <w:sz w:val="20"/>
                      <w:szCs w:val="20"/>
                    </w:rPr>
                    <w:t>Усть-Абаканский</w:t>
                  </w:r>
                  <w:proofErr w:type="spellEnd"/>
                  <w:r w:rsidRPr="00F45E9F">
                    <w:rPr>
                      <w:sz w:val="20"/>
                      <w:szCs w:val="20"/>
                    </w:rPr>
                    <w:t xml:space="preserve"> район – многофункциональное муниципальное образование с сохраняемым своеобразием культурно-исторического наследия, эффективной экономикой, </w:t>
                  </w:r>
                  <w:r w:rsidRPr="00F45E9F">
                    <w:rPr>
                      <w:iCs/>
                      <w:sz w:val="20"/>
                      <w:szCs w:val="20"/>
                    </w:rPr>
                    <w:t>комфортным и безопасным проживанием</w:t>
                  </w:r>
                </w:p>
              </w:txbxContent>
            </v:textbox>
          </v:shape>
        </w:pict>
      </w:r>
    </w:p>
    <w:p w:rsidR="00F45E9F" w:rsidRDefault="00F45E9F"/>
    <w:p w:rsidR="00F45E9F" w:rsidRDefault="009736A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474.95pt;margin-top:380.55pt;width:19.9pt;height:0;z-index:251710464" o:connectortype="straight"/>
        </w:pict>
      </w:r>
      <w:r>
        <w:rPr>
          <w:noProof/>
        </w:rPr>
        <w:pict>
          <v:shape id="_x0000_s1077" type="#_x0000_t32" style="position:absolute;margin-left:474.25pt;margin-top:305pt;width:19.9pt;height:0;z-index:251709440" o:connectortype="straight"/>
        </w:pict>
      </w:r>
      <w:r>
        <w:rPr>
          <w:noProof/>
        </w:rPr>
        <w:pict>
          <v:shape id="_x0000_s1076" type="#_x0000_t32" style="position:absolute;margin-left:474.95pt;margin-top:239.4pt;width:19.9pt;height:0;z-index:251708416" o:connectortype="straight"/>
        </w:pict>
      </w:r>
      <w:r>
        <w:rPr>
          <w:noProof/>
        </w:rPr>
        <w:pict>
          <v:shape id="_x0000_s1075" type="#_x0000_t32" style="position:absolute;margin-left:474.95pt;margin-top:178.8pt;width:19.9pt;height:0;flip:x;z-index:251707392" o:connectortype="straight"/>
        </w:pict>
      </w:r>
      <w:r>
        <w:rPr>
          <w:noProof/>
        </w:rPr>
        <w:pict>
          <v:shape id="_x0000_s1074" type="#_x0000_t32" style="position:absolute;margin-left:494.15pt;margin-top:178.8pt;width:.7pt;height:201.75pt;z-index:251706368" o:connectortype="straight"/>
        </w:pict>
      </w:r>
      <w:r>
        <w:rPr>
          <w:noProof/>
        </w:rPr>
        <w:pict>
          <v:shape id="_x0000_s1073" type="#_x0000_t32" style="position:absolute;margin-left:133.45pt;margin-top:178.8pt;width:34.4pt;height:0;z-index:251658238" o:connectortype="straight"/>
        </w:pict>
      </w:r>
      <w:r>
        <w:rPr>
          <w:noProof/>
        </w:rPr>
        <w:pict>
          <v:shape id="_x0000_s1072" type="#_x0000_t32" style="position:absolute;margin-left:133.45pt;margin-top:239.4pt;width:34.4pt;height:0;z-index:251705344" o:connectortype="straight"/>
        </w:pict>
      </w:r>
      <w:r>
        <w:rPr>
          <w:noProof/>
        </w:rPr>
        <w:pict>
          <v:shape id="_x0000_s1071" type="#_x0000_t32" style="position:absolute;margin-left:134.2pt;margin-top:275.75pt;width:34.4pt;height:0;z-index:251704320" o:connectortype="straight"/>
        </w:pict>
      </w:r>
      <w:r>
        <w:rPr>
          <w:noProof/>
        </w:rPr>
        <w:pict>
          <v:shape id="_x0000_s1070" type="#_x0000_t32" style="position:absolute;margin-left:133.45pt;margin-top:312.8pt;width:32.75pt;height:0;z-index:251703296" o:connectortype="straight"/>
        </w:pict>
      </w:r>
      <w:r>
        <w:rPr>
          <w:noProof/>
        </w:rPr>
        <w:pict>
          <v:shape id="_x0000_s1069" type="#_x0000_t32" style="position:absolute;margin-left:134.65pt;margin-top:357.4pt;width:32.75pt;height:0;z-index:251702272" o:connectortype="straight"/>
        </w:pict>
      </w:r>
      <w:r>
        <w:rPr>
          <w:noProof/>
        </w:rPr>
        <w:pict>
          <v:shape id="_x0000_s1068" type="#_x0000_t32" style="position:absolute;margin-left:134.65pt;margin-top:400.5pt;width:33.95pt;height:0;z-index:251701248" o:connectortype="straight"/>
        </w:pict>
      </w:r>
      <w:r>
        <w:rPr>
          <w:noProof/>
        </w:rPr>
        <w:pict>
          <v:shape id="_x0000_s1067" type="#_x0000_t32" style="position:absolute;margin-left:133.45pt;margin-top:443.15pt;width:33.95pt;height:0;z-index:251700224" o:connectortype="straight"/>
        </w:pict>
      </w:r>
      <w:r>
        <w:rPr>
          <w:noProof/>
        </w:rPr>
        <w:pict>
          <v:shape id="_x0000_s1066" type="#_x0000_t32" style="position:absolute;margin-left:133.45pt;margin-top:496.4pt;width:33.95pt;height:0;z-index:251699200" o:connectortype="straight"/>
        </w:pict>
      </w:r>
      <w:r>
        <w:rPr>
          <w:noProof/>
        </w:rPr>
        <w:pict>
          <v:shape id="_x0000_s1065" type="#_x0000_t32" style="position:absolute;margin-left:134.2pt;margin-top:549.15pt;width:36.2pt;height:0;z-index:251698176" o:connectortype="straight"/>
        </w:pict>
      </w:r>
      <w:r>
        <w:rPr>
          <w:noProof/>
        </w:rPr>
        <w:pict>
          <v:shape id="_x0000_s1064" type="#_x0000_t32" style="position:absolute;margin-left:133.45pt;margin-top:178.8pt;width:.75pt;height:370.35pt;z-index:251697152" o:connectortype="straight"/>
        </w:pict>
      </w:r>
      <w:r>
        <w:rPr>
          <w:noProof/>
        </w:rPr>
        <w:pict>
          <v:shape id="_x0000_s1063" type="#_x0000_t32" style="position:absolute;margin-left:-55.05pt;margin-top:182.8pt;width:28.75pt;height:0;z-index:251659263" o:connectortype="straight"/>
        </w:pict>
      </w:r>
      <w:r>
        <w:rPr>
          <w:noProof/>
        </w:rPr>
        <w:pict>
          <v:shape id="_x0000_s1062" type="#_x0000_t32" style="position:absolute;margin-left:-55.05pt;margin-top:241.55pt;width:28.75pt;height:0;z-index:251696128" o:connectortype="straight"/>
        </w:pict>
      </w:r>
      <w:r>
        <w:rPr>
          <w:noProof/>
        </w:rPr>
        <w:pict>
          <v:shape id="_x0000_s1061" type="#_x0000_t32" style="position:absolute;margin-left:-55.05pt;margin-top:294.65pt;width:30.3pt;height:0;z-index:251695104" o:connectortype="straight"/>
        </w:pict>
      </w:r>
      <w:r>
        <w:rPr>
          <w:noProof/>
        </w:rPr>
        <w:pict>
          <v:shape id="_x0000_s1060" type="#_x0000_t32" style="position:absolute;margin-left:-54.3pt;margin-top:353.8pt;width:30.3pt;height:0;z-index:251694080" o:connectortype="straight"/>
        </w:pict>
      </w:r>
      <w:r>
        <w:rPr>
          <w:noProof/>
        </w:rPr>
        <w:pict>
          <v:shape id="_x0000_s1059" type="#_x0000_t32" style="position:absolute;margin-left:-55.05pt;margin-top:417.7pt;width:30.3pt;height:0;z-index:251693056" o:connectortype="straight"/>
        </w:pict>
      </w:r>
      <w:r>
        <w:rPr>
          <w:noProof/>
        </w:rPr>
        <w:pict>
          <v:shape id="_x0000_s1058" type="#_x0000_t32" style="position:absolute;margin-left:-54.3pt;margin-top:475.95pt;width:30.3pt;height:0;z-index:251692032" o:connectortype="straight"/>
        </w:pict>
      </w:r>
      <w:r>
        <w:rPr>
          <w:noProof/>
        </w:rPr>
        <w:pict>
          <v:shape id="_x0000_s1057" type="#_x0000_t32" style="position:absolute;margin-left:-54.3pt;margin-top:533.8pt;width:30.3pt;height:0;z-index:251691008" o:connectortype="straight"/>
        </w:pict>
      </w:r>
      <w:r>
        <w:rPr>
          <w:noProof/>
        </w:rPr>
        <w:pict>
          <v:shape id="_x0000_s1056" type="#_x0000_t32" style="position:absolute;margin-left:-55.05pt;margin-top:182.8pt;width:.75pt;height:351pt;z-index:251689984" o:connectortype="straight"/>
        </w:pict>
      </w:r>
      <w:r>
        <w:rPr>
          <w:noProof/>
        </w:rPr>
        <w:pict>
          <v:shape id="_x0000_s1055" type="#_x0000_t32" style="position:absolute;margin-left:403.95pt;margin-top:144.6pt;width:0;height:18pt;z-index:251688960" o:connectortype="straight">
            <v:stroke endarrow="block"/>
          </v:shape>
        </w:pict>
      </w:r>
      <w:r>
        <w:rPr>
          <w:noProof/>
        </w:rPr>
        <w:pict>
          <v:shape id="_x0000_s1054" type="#_x0000_t32" style="position:absolute;margin-left:231.45pt;margin-top:144.6pt;width:0;height:18pt;z-index:251687936" o:connectortype="straight">
            <v:stroke endarrow="block"/>
          </v:shape>
        </w:pict>
      </w:r>
      <w:r>
        <w:rPr>
          <w:noProof/>
        </w:rPr>
        <w:pict>
          <v:shape id="_x0000_s1053" type="#_x0000_t32" style="position:absolute;margin-left:67.95pt;margin-top:144.6pt;width:0;height:18pt;z-index:251686912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margin-left:213.45pt;margin-top:99.6pt;width:0;height:18pt;z-index:251685888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213.45pt;margin-top:26.1pt;width:0;height:18pt;z-index:251684864" o:connectortype="straight">
            <v:stroke endarrow="block"/>
          </v:shape>
        </w:pict>
      </w:r>
      <w:r>
        <w:rPr>
          <w:noProof/>
        </w:rPr>
        <w:pict>
          <v:shape id="_x0000_s1049" type="#_x0000_t176" style="position:absolute;margin-left:170.4pt;margin-top:529.8pt;width:126.15pt;height:32.35pt;z-index:251683840" strokecolor="#1f497d" strokeweight="1pt">
            <v:shadow color="#868686"/>
            <v:textbox style="mso-next-textbox:#_x0000_s1049">
              <w:txbxContent>
                <w:p w:rsidR="006D134B" w:rsidRPr="00834182" w:rsidRDefault="006D134B" w:rsidP="006D13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Муниципальный контроль</w:t>
                  </w:r>
                </w:p>
                <w:p w:rsidR="006D134B" w:rsidRPr="00511C47" w:rsidRDefault="006D134B" w:rsidP="006D134B"/>
              </w:txbxContent>
            </v:textbox>
          </v:shape>
        </w:pict>
      </w:r>
      <w:r>
        <w:rPr>
          <w:noProof/>
        </w:rPr>
        <w:pict>
          <v:shape id="_x0000_s1041" type="#_x0000_t176" style="position:absolute;margin-left:167.4pt;margin-top:470.85pt;width:129.15pt;height:46.5pt;z-index:251675648" strokecolor="#1f497d" strokeweight="1pt">
            <v:shadow color="#868686"/>
            <v:textbox style="mso-next-textbox:#_x0000_s1041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Эффективное муниципальное управление</w:t>
                  </w:r>
                </w:p>
                <w:p w:rsidR="00F45E9F" w:rsidRPr="007113F9" w:rsidRDefault="00F45E9F" w:rsidP="00F45E9F">
                  <w:pPr>
                    <w:jc w:val="center"/>
                  </w:pPr>
                </w:p>
                <w:p w:rsidR="00F45E9F" w:rsidRPr="00511C47" w:rsidRDefault="00F45E9F" w:rsidP="00F45E9F"/>
              </w:txbxContent>
            </v:textbox>
          </v:shape>
        </w:pict>
      </w:r>
      <w:r>
        <w:rPr>
          <w:noProof/>
        </w:rPr>
        <w:pict>
          <v:shape id="_x0000_s1040" type="#_x0000_t176" style="position:absolute;margin-left:167.4pt;margin-top:428.1pt;width:131.55pt;height:31.5pt;z-index:251674624" strokecolor="#1f497d" strokeweight="1pt">
            <v:shadow color="#868686"/>
            <v:textbox style="mso-next-textbox:#_x0000_s1040">
              <w:txbxContent>
                <w:p w:rsidR="00F45E9F" w:rsidRPr="00834182" w:rsidRDefault="00F45E9F" w:rsidP="00F45E9F">
                  <w:pPr>
                    <w:ind w:left="-142"/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Социальная поддержка населения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>
        <w:rPr>
          <w:noProof/>
        </w:rPr>
        <w:pict>
          <v:shape id="_x0000_s1039" type="#_x0000_t176" style="position:absolute;margin-left:168.6pt;margin-top:385.35pt;width:127.95pt;height:32.35pt;z-index:251673600" strokecolor="#1f497d" strokeweight="1pt">
            <v:shadow color="#868686"/>
            <v:textbox style="mso-next-textbox:#_x0000_s1039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Реализация молодежной политики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>
        <w:rPr>
          <w:noProof/>
        </w:rPr>
        <w:pict>
          <v:shape id="_x0000_s1038" type="#_x0000_t176" style="position:absolute;margin-left:167.4pt;margin-top:341.85pt;width:129.15pt;height:31.05pt;z-index:251672576" strokecolor="#1f497d" strokeweight="1pt">
            <v:shadow color="#868686"/>
            <v:textbox style="mso-next-textbox:#_x0000_s1038">
              <w:txbxContent>
                <w:p w:rsidR="00F45E9F" w:rsidRPr="00834182" w:rsidRDefault="00F45E9F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физической культуры и спорта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176" style="position:absolute;margin-left:169.8pt;margin-top:223.35pt;width:129.15pt;height:31.2pt;z-index:251669504" strokecolor="#1f497d" strokeweight="1pt">
            <v:shadow color="#868686"/>
            <v:textbox style="mso-next-textbox:#_x0000_s1035">
              <w:txbxContent>
                <w:p w:rsidR="00F45E9F" w:rsidRPr="00834182" w:rsidRDefault="00F45E9F" w:rsidP="00204CF5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здравоохранения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>
        <w:rPr>
          <w:noProof/>
        </w:rPr>
        <w:pict>
          <v:shape id="_x0000_s1036" type="#_x0000_t176" style="position:absolute;margin-left:169.8pt;margin-top:264.15pt;width:129.15pt;height:27pt;z-index:251670528" strokecolor="#1f497d" strokeweight="1pt">
            <v:shadow color="#868686"/>
            <v:textbox style="mso-next-textbox:#_x0000_s1036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образования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>
        <w:rPr>
          <w:noProof/>
        </w:rPr>
        <w:pict>
          <v:shape id="_x0000_s1037" type="#_x0000_t176" style="position:absolute;margin-left:167.4pt;margin-top:300.9pt;width:129.15pt;height:25.2pt;z-index:251671552" strokecolor="#1f497d" strokeweight="1pt">
            <v:shadow color="#868686"/>
            <v:textbox style="mso-next-textbox:#_x0000_s1037">
              <w:txbxContent>
                <w:p w:rsidR="00F45E9F" w:rsidRPr="00834182" w:rsidRDefault="00F45E9F" w:rsidP="00F45E9F">
                  <w:pPr>
                    <w:ind w:left="-284"/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 xml:space="preserve">Развитие культуры </w:t>
                  </w:r>
                </w:p>
                <w:p w:rsidR="00F45E9F" w:rsidRPr="00511C47" w:rsidRDefault="00F45E9F" w:rsidP="00F45E9F"/>
              </w:txbxContent>
            </v:textbox>
          </v:shape>
        </w:pict>
      </w:r>
      <w:r>
        <w:rPr>
          <w:noProof/>
        </w:rPr>
        <w:pict>
          <v:shape id="_x0000_s1048" type="#_x0000_t176" style="position:absolute;margin-left:-24pt;margin-top:517.35pt;width:121.45pt;height:27pt;z-index:251682816" strokecolor="#1f497d" strokeweight="1pt">
            <v:shadow color="#868686"/>
            <v:textbox style="mso-next-textbox:#_x0000_s1048">
              <w:txbxContent>
                <w:p w:rsidR="006D134B" w:rsidRPr="00834182" w:rsidRDefault="006D134B" w:rsidP="006D134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Цифровая  экономика</w:t>
                  </w:r>
                </w:p>
                <w:p w:rsidR="006D134B" w:rsidRPr="00511C47" w:rsidRDefault="006D134B" w:rsidP="006D134B"/>
              </w:txbxContent>
            </v:textbox>
          </v:shape>
        </w:pict>
      </w:r>
      <w:r>
        <w:rPr>
          <w:noProof/>
        </w:rPr>
        <w:pict>
          <v:shape id="_x0000_s1034" type="#_x0000_t176" style="position:absolute;margin-left:-24pt;margin-top:453.7pt;width:121.45pt;height:50.25pt;z-index:251668480" strokecolor="#1f497d" strokeweight="1pt">
            <v:shadow color="#868686"/>
            <v:textbox style="mso-next-textbox:#_x0000_s1034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инвестиционной привлекательности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176" style="position:absolute;margin-left:-24pt;margin-top:273.3pt;width:123.75pt;height:46.05pt;z-index:251665408" strokecolor="#1f497d" strokeweight="1pt">
            <v:shadow color="#868686"/>
            <v:textbox style="mso-next-textbox:#_x0000_s1031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перерабатывающих производств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176" style="position:absolute;margin-left:-24pt;margin-top:330.45pt;width:121.45pt;height:46.65pt;z-index:251666432" strokecolor="#1f497d" strokeweight="1pt">
            <v:shadow color="#868686"/>
            <v:textbox style="mso-next-textbox:#_x0000_s1032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промышленного потенциала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176" style="position:absolute;margin-left:153.6pt;margin-top:162.6pt;width:159.75pt;height:34.05pt;z-index:251676672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2">
              <w:txbxContent>
                <w:p w:rsidR="00F45E9F" w:rsidRPr="00834182" w:rsidRDefault="00F45E9F" w:rsidP="00F45E9F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Формирование благоприятной социальной среды</w:t>
                  </w:r>
                </w:p>
                <w:p w:rsidR="00F45E9F" w:rsidRDefault="00F45E9F" w:rsidP="00F45E9F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176" style="position:absolute;margin-left:-24pt;margin-top:391.85pt;width:119.35pt;height:51.3pt;z-index:251667456" strokecolor="#1f497d" strokeweight="1pt">
            <v:shadow color="#868686"/>
            <v:textbox style="mso-next-textbox:#_x0000_s1033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малого и среднего предпринимательства</w:t>
                  </w:r>
                </w:p>
                <w:p w:rsidR="00F45E9F" w:rsidRPr="007113F9" w:rsidRDefault="00F45E9F" w:rsidP="00F45E9F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176" style="position:absolute;margin-left:-26.3pt;margin-top:218.7pt;width:126.05pt;height:45.45pt;z-index:251664384" strokecolor="#1f497d" strokeweight="1pt">
            <v:shadow color="#868686"/>
            <v:textbox style="mso-next-textbox:#_x0000_s1030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сельскохозяйственного производства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176" style="position:absolute;margin-left:46.2pt;margin-top:117.6pt;width:378.6pt;height:22.5pt;z-index:251662336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8">
              <w:txbxContent>
                <w:p w:rsidR="00F45E9F" w:rsidRPr="00204CF5" w:rsidRDefault="00F45E9F" w:rsidP="00F45E9F">
                  <w:pPr>
                    <w:jc w:val="center"/>
                    <w:rPr>
                      <w:b/>
                    </w:rPr>
                  </w:pPr>
                  <w:r w:rsidRPr="00204CF5">
                    <w:rPr>
                      <w:b/>
                    </w:rPr>
                    <w:t>Стратегические приоритеты: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176" style="position:absolute;margin-left:348.95pt;margin-top:281.25pt;width:126pt;height:44.85pt;z-index:251680768" strokecolor="#1f497d" strokeweight="1pt">
            <v:shadow color="#868686"/>
            <v:textbox style="mso-next-textbox:#_x0000_s1046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  <w:p w:rsidR="00834182" w:rsidRPr="00FD2163" w:rsidRDefault="00834182" w:rsidP="00834182"/>
              </w:txbxContent>
            </v:textbox>
          </v:shape>
        </w:pict>
      </w:r>
      <w:r>
        <w:rPr>
          <w:noProof/>
        </w:rPr>
        <w:pict>
          <v:shape id="_x0000_s1045" type="#_x0000_t176" style="position:absolute;margin-left:348.95pt;margin-top:218.7pt;width:126pt;height:39.9pt;z-index:251679744" strokecolor="#1f497d" strokeweight="1pt">
            <v:shadow color="#868686"/>
            <v:textbox style="mso-next-textbox:#_x0000_s1045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Жилищное строительство</w:t>
                  </w:r>
                </w:p>
                <w:p w:rsidR="00834182" w:rsidRPr="00FD2163" w:rsidRDefault="00834182" w:rsidP="00834182"/>
              </w:txbxContent>
            </v:textbox>
          </v:shape>
        </w:pict>
      </w:r>
      <w:r>
        <w:rPr>
          <w:noProof/>
        </w:rPr>
        <w:pict>
          <v:shape id="_x0000_s1047" type="#_x0000_t176" style="position:absolute;margin-left:348.95pt;margin-top:351.3pt;width:126pt;height:46.1pt;z-index:251681792" strokecolor="#1f497d" strokeweight="1pt">
            <v:shadow color="#868686"/>
            <v:textbox style="mso-next-textbox:#_x0000_s1047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дорожно-транспортного хозяйства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176" style="position:absolute;margin-left:336.15pt;margin-top:162.6pt;width:138.8pt;height:34.05pt;z-index:251678720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44">
              <w:txbxContent>
                <w:p w:rsidR="00834182" w:rsidRPr="00834182" w:rsidRDefault="00834182" w:rsidP="00834182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Повышение качества среды проживания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176" style="position:absolute;margin-left:-28.4pt;margin-top:162.6pt;width:138pt;height:39.6pt;z-index:251663360" strokecolor="#548dd4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9">
              <w:txbxContent>
                <w:p w:rsidR="00F45E9F" w:rsidRPr="00834182" w:rsidRDefault="00F45E9F" w:rsidP="00F45E9F">
                  <w:pPr>
                    <w:jc w:val="center"/>
                    <w:rPr>
                      <w:sz w:val="20"/>
                      <w:szCs w:val="20"/>
                    </w:rPr>
                  </w:pPr>
                  <w:r w:rsidRPr="00834182">
                    <w:rPr>
                      <w:sz w:val="20"/>
                      <w:szCs w:val="20"/>
                    </w:rPr>
                    <w:t>Развитие экономического потенциала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176" style="position:absolute;margin-left:-6.3pt;margin-top:44.1pt;width:464.65pt;height:55.35pt;z-index:251661312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7">
              <w:txbxContent>
                <w:p w:rsidR="00F45E9F" w:rsidRPr="00F45E9F" w:rsidRDefault="00F45E9F" w:rsidP="00F45E9F">
                  <w:pPr>
                    <w:rPr>
                      <w:sz w:val="20"/>
                      <w:szCs w:val="20"/>
                    </w:rPr>
                  </w:pPr>
                  <w:r w:rsidRPr="00F45E9F">
                    <w:rPr>
                      <w:b/>
                      <w:sz w:val="20"/>
                      <w:szCs w:val="20"/>
                    </w:rPr>
                    <w:t xml:space="preserve">Главная стратегическая цель </w:t>
                  </w:r>
                  <w:r w:rsidRPr="00F45E9F">
                    <w:rPr>
                      <w:sz w:val="20"/>
                      <w:szCs w:val="20"/>
                    </w:rPr>
                    <w:t xml:space="preserve">- повышение качества жизни населения </w:t>
                  </w:r>
                  <w:proofErr w:type="spellStart"/>
                  <w:r w:rsidRPr="00F45E9F">
                    <w:rPr>
                      <w:sz w:val="20"/>
                      <w:szCs w:val="20"/>
                    </w:rPr>
                    <w:t>Усть-Абаканского</w:t>
                  </w:r>
                  <w:proofErr w:type="spellEnd"/>
                  <w:r w:rsidRPr="00F45E9F">
                    <w:rPr>
                      <w:sz w:val="20"/>
                      <w:szCs w:val="20"/>
                    </w:rPr>
                    <w:t xml:space="preserve"> района на основе эффективного развития реального сектора экономики, активного использования природно-ресурсного и человеческого потенциала и формирования благоприятной социальной среды для комфортного проживания населении</w:t>
                  </w:r>
                </w:p>
              </w:txbxContent>
            </v:textbox>
          </v:shape>
        </w:pict>
      </w:r>
    </w:p>
    <w:sectPr w:rsidR="00F45E9F" w:rsidSect="00AF65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CEA" w:rsidRDefault="00367CEA" w:rsidP="00310D45">
      <w:r>
        <w:separator/>
      </w:r>
    </w:p>
  </w:endnote>
  <w:endnote w:type="continuationSeparator" w:id="0">
    <w:p w:rsidR="00367CEA" w:rsidRDefault="00367CEA" w:rsidP="00310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CEA" w:rsidRDefault="00367CEA" w:rsidP="00310D45">
      <w:r>
        <w:separator/>
      </w:r>
    </w:p>
  </w:footnote>
  <w:footnote w:type="continuationSeparator" w:id="0">
    <w:p w:rsidR="00367CEA" w:rsidRDefault="00367CEA" w:rsidP="00310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5CC"/>
    <w:multiLevelType w:val="multilevel"/>
    <w:tmpl w:val="96F4BB7E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B9F"/>
    <w:rsid w:val="0004088B"/>
    <w:rsid w:val="000530DC"/>
    <w:rsid w:val="000715A4"/>
    <w:rsid w:val="000B3215"/>
    <w:rsid w:val="0017349C"/>
    <w:rsid w:val="001E0C15"/>
    <w:rsid w:val="001F310D"/>
    <w:rsid w:val="00204CF5"/>
    <w:rsid w:val="00225C1B"/>
    <w:rsid w:val="002C3ACF"/>
    <w:rsid w:val="00310D45"/>
    <w:rsid w:val="00357C6F"/>
    <w:rsid w:val="00367CEA"/>
    <w:rsid w:val="004123E7"/>
    <w:rsid w:val="00421E53"/>
    <w:rsid w:val="00592B49"/>
    <w:rsid w:val="005C087E"/>
    <w:rsid w:val="00656B9F"/>
    <w:rsid w:val="00661F09"/>
    <w:rsid w:val="006C3252"/>
    <w:rsid w:val="006D134B"/>
    <w:rsid w:val="0070298A"/>
    <w:rsid w:val="00717FC6"/>
    <w:rsid w:val="007977BA"/>
    <w:rsid w:val="007D0C68"/>
    <w:rsid w:val="00834182"/>
    <w:rsid w:val="008D43E5"/>
    <w:rsid w:val="0090675C"/>
    <w:rsid w:val="009736A3"/>
    <w:rsid w:val="00A43B2B"/>
    <w:rsid w:val="00A66BA2"/>
    <w:rsid w:val="00AE2004"/>
    <w:rsid w:val="00AF6550"/>
    <w:rsid w:val="00B10AD6"/>
    <w:rsid w:val="00CE6ED8"/>
    <w:rsid w:val="00CF21FB"/>
    <w:rsid w:val="00D2375C"/>
    <w:rsid w:val="00D24D4F"/>
    <w:rsid w:val="00EB5EF1"/>
    <w:rsid w:val="00EB6E70"/>
    <w:rsid w:val="00F320AF"/>
    <w:rsid w:val="00F45E9F"/>
    <w:rsid w:val="00FF2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9" type="connector" idref="#_x0000_s1077"/>
        <o:r id="V:Rule30" type="connector" idref="#_x0000_s1076"/>
        <o:r id="V:Rule31" type="connector" idref="#_x0000_s1075"/>
        <o:r id="V:Rule32" type="connector" idref="#_x0000_s1052"/>
        <o:r id="V:Rule33" type="connector" idref="#_x0000_s1051"/>
        <o:r id="V:Rule34" type="connector" idref="#_x0000_s1078"/>
        <o:r id="V:Rule35" type="connector" idref="#_x0000_s1065"/>
        <o:r id="V:Rule36" type="connector" idref="#_x0000_s1055"/>
        <o:r id="V:Rule37" type="connector" idref="#_x0000_s1066"/>
        <o:r id="V:Rule38" type="connector" idref="#_x0000_s1074"/>
        <o:r id="V:Rule39" type="connector" idref="#_x0000_s1053"/>
        <o:r id="V:Rule40" type="connector" idref="#_x0000_s1054"/>
        <o:r id="V:Rule41" type="connector" idref="#_x0000_s1057"/>
        <o:r id="V:Rule42" type="connector" idref="#_x0000_s1068"/>
        <o:r id="V:Rule43" type="connector" idref="#_x0000_s1067"/>
        <o:r id="V:Rule44" type="connector" idref="#_x0000_s1058"/>
        <o:r id="V:Rule45" type="connector" idref="#_x0000_s1069"/>
        <o:r id="V:Rule46" type="connector" idref="#_x0000_s1060"/>
        <o:r id="V:Rule47" type="connector" idref="#_x0000_s1059"/>
        <o:r id="V:Rule48" type="connector" idref="#_x0000_s1070"/>
        <o:r id="V:Rule49" type="connector" idref="#_x0000_s1073"/>
        <o:r id="V:Rule50" type="connector" idref="#_x0000_s1064"/>
        <o:r id="V:Rule51" type="connector" idref="#_x0000_s1056"/>
        <o:r id="V:Rule52" type="connector" idref="#_x0000_s1063"/>
        <o:r id="V:Rule53" type="connector" idref="#_x0000_s1061"/>
        <o:r id="V:Rule54" type="connector" idref="#_x0000_s1072"/>
        <o:r id="V:Rule55" type="connector" idref="#_x0000_s1071"/>
        <o:r id="V:Rule56" type="connector" idref="#_x0000_s106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B9F"/>
    <w:pPr>
      <w:ind w:left="720"/>
      <w:contextualSpacing/>
    </w:pPr>
  </w:style>
  <w:style w:type="paragraph" w:customStyle="1" w:styleId="ConsPlusNormal">
    <w:name w:val="ConsPlusNormal"/>
    <w:link w:val="ConsPlusNormal0"/>
    <w:rsid w:val="00656B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56B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656B9F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656B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D24D4F"/>
    <w:rPr>
      <w:rFonts w:ascii="Calibri" w:eastAsia="Times New Roman" w:hAnsi="Calibri" w:cs="Calibri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5EF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5E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29</cp:revision>
  <cp:lastPrinted>2025-11-20T09:21:00Z</cp:lastPrinted>
  <dcterms:created xsi:type="dcterms:W3CDTF">2025-09-25T04:42:00Z</dcterms:created>
  <dcterms:modified xsi:type="dcterms:W3CDTF">2025-11-20T09:21:00Z</dcterms:modified>
</cp:coreProperties>
</file>